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Layout w:type="fixed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56"/>
        <w:gridCol w:w="2303"/>
      </w:tblGrid>
      <w:tr>
        <w:tc>
          <w:tcPr>
            <w:tcW w:type="dxa" w:w="4680"/>
          </w:tcPr>
          <w:p>
            <w:pPr>
              <w:spacing w:after="0"/>
            </w:pPr>
            <w:r>
              <w:rPr>
                <w:rFonts w:ascii="Inter" w:hAnsi="Inter"/>
                <w:b/>
                <w:color w:val="FFFFFF"/>
                <w:sz w:val="18"/>
                <w:shd w:val="clear" w:color="auto" w:fill="C8392F"/>
              </w:rPr>
              <w:t xml:space="preserve"> CPP </w:t>
            </w:r>
            <w:r>
              <w:rPr>
                <w:rFonts w:ascii="Inter" w:hAnsi="Inter"/>
                <w:b/>
                <w:color w:val="0D1B2A"/>
                <w:sz w:val="21"/>
              </w:rPr>
              <w:t xml:space="preserve">  Critical Path Partners</w:t>
            </w:r>
            <w:r>
              <w:rPr>
                <w:rFonts w:ascii="Inter" w:hAnsi="Inter"/>
                <w:color w:val="33455A"/>
                <w:sz w:val="18"/>
              </w:rPr>
              <w:t xml:space="preserve">   Forensic schedule analysis</w:t>
            </w:r>
          </w:p>
        </w:tc>
        <w:tc>
          <w:tcPr>
            <w:tcW w:type="dxa" w:w="4680"/>
          </w:tcPr>
          <w:p>
            <w:pPr>
              <w:spacing w:after="0"/>
              <w:jc w:val="right"/>
            </w:pPr>
            <w:r>
              <w:rPr>
                <w:rFonts w:ascii="Consolas" w:hAnsi="Consolas"/>
                <w:color w:val="33455A"/>
                <w:sz w:val="16"/>
              </w:rPr>
              <w:t>CPP-EOT-COVER / CCDC 2 - 2020, Contract No. OCC-B2-2025 (Demo Data)</w:t>
            </w:r>
          </w:p>
        </w:tc>
      </w:tr>
    </w:tbl>
    <w:p>
      <w:pPr>
        <w:spacing w:before="60" w:after="200"/>
        <w:pBdr>
          <w:bottom w:val="single" w:sz="8" w:space="4" w:color="0F2540"/>
        </w:pBdr>
      </w:pP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6912"/>
        <w:gridCol w:w="2448"/>
      </w:tblGrid>
      <w:tr>
        <w:tc>
          <w:tcPr>
            <w:tcW w:type="dxa" w:w="4680"/>
          </w:tcPr>
          <w:p>
            <w:pPr>
              <w:spacing w:after="40"/>
            </w:pPr>
            <w:r>
              <w:rPr>
                <w:rFonts w:ascii="Inter" w:hAnsi="Inter"/>
                <w:b/>
                <w:color w:val="0D1B2A"/>
                <w:sz w:val="44"/>
              </w:rPr>
              <w:t>Ontario Community College - B2 (Demo Data)</w:t>
            </w:r>
          </w:p>
          <w:p>
            <w:pPr>
              <w:spacing w:after="80"/>
            </w:pPr>
            <w:r>
              <w:rPr>
                <w:rFonts w:ascii="Inter" w:hAnsi="Inter"/>
                <w:color w:val="33455A"/>
                <w:sz w:val="23"/>
              </w:rPr>
              <w:t>Extension of Time Claim — Cover Letter</w:t>
            </w:r>
          </w:p>
          <w:p>
            <w:pPr>
              <w:spacing w:before="80" w:after="0"/>
            </w:pPr>
            <w:r>
              <w:rPr>
                <w:rFonts w:ascii="Inter" w:hAnsi="Inter"/>
                <w:color w:val="33455A"/>
                <w:sz w:val="17"/>
              </w:rPr>
              <w:t xml:space="preserve">Contractor  </w:t>
            </w:r>
            <w:r>
              <w:rPr>
                <w:rFonts w:ascii="Inter" w:hAnsi="Inter"/>
                <w:b/>
                <w:color w:val="0D1B2A"/>
                <w:sz w:val="19"/>
              </w:rPr>
              <w:t>Northgate Constructors</w:t>
            </w:r>
            <w:r>
              <w:rPr>
                <w:rFonts w:ascii="Inter" w:hAnsi="Inter"/>
              </w:rPr>
              <w:t xml:space="preserve">    </w:t>
            </w:r>
            <w:r>
              <w:rPr>
                <w:rFonts w:ascii="Inter" w:hAnsi="Inter"/>
                <w:color w:val="33455A"/>
                <w:sz w:val="17"/>
              </w:rPr>
              <w:t xml:space="preserve">Total Claimed  </w:t>
            </w:r>
            <w:r>
              <w:rPr>
                <w:rFonts w:ascii="Inter" w:hAnsi="Inter"/>
                <w:b/>
                <w:color w:val="0D1B2A"/>
                <w:sz w:val="19"/>
              </w:rPr>
              <w:t>9 wd</w:t>
            </w:r>
            <w:r>
              <w:rPr>
                <w:rFonts w:ascii="Inter" w:hAnsi="Inter"/>
              </w:rPr>
              <w:t xml:space="preserve">    </w:t>
            </w:r>
            <w:r>
              <w:rPr>
                <w:rFonts w:ascii="Inter" w:hAnsi="Inter"/>
                <w:color w:val="33455A"/>
                <w:sz w:val="17"/>
              </w:rPr>
              <w:t xml:space="preserve">Events  </w:t>
            </w:r>
            <w:r>
              <w:rPr>
                <w:rFonts w:ascii="Inter" w:hAnsi="Inter"/>
                <w:b/>
                <w:color w:val="0D1B2A"/>
                <w:sz w:val="19"/>
              </w:rPr>
              <w:t>1</w:t>
            </w:r>
            <w:r>
              <w:rPr>
                <w:rFonts w:ascii="Inter" w:hAnsi="Inter"/>
              </w:rPr>
              <w:t xml:space="preserve">    </w:t>
            </w:r>
            <w:r>
              <w:rPr>
                <w:rFonts w:ascii="Inter" w:hAnsi="Inter"/>
                <w:color w:val="33455A"/>
                <w:sz w:val="17"/>
              </w:rPr>
              <w:t xml:space="preserve">Date  </w:t>
            </w:r>
            <w:r>
              <w:rPr>
                <w:rFonts w:ascii="Inter" w:hAnsi="Inter"/>
                <w:b/>
                <w:color w:val="0D1B2A"/>
                <w:sz w:val="19"/>
              </w:rPr>
              <w:t>September 01, 2026</w:t>
            </w:r>
          </w:p>
        </w:tc>
        <w:tc>
          <w:tcPr>
            <w:tcW w:type="dxa" w:w="4680"/>
            <w:tcBorders>
              <w:top w:val="single" w:sz="16" w:space="0" w:color="0F2540"/>
            </w:tcBorders>
          </w:tcPr>
          <w:p>
            <w:pPr>
              <w:spacing w:before="80" w:after="0"/>
              <w:jc w:val="right"/>
            </w:pPr>
            <w:r>
              <w:rPr>
                <w:rFonts w:ascii="Inter" w:hAnsi="Inter"/>
                <w:color w:val="33455A"/>
                <w:sz w:val="17"/>
              </w:rPr>
              <w:t>Overall</w:t>
            </w:r>
          </w:p>
          <w:p>
            <w:pPr>
              <w:spacing w:after="0"/>
              <w:jc w:val="right"/>
            </w:pPr>
            <w:r>
              <w:rPr>
                <w:rFonts w:ascii="Inter" w:hAnsi="Inter"/>
                <w:b/>
                <w:color w:val="0D1B2A"/>
                <w:sz w:val="60"/>
              </w:rPr>
              <w:t>9 wd</w:t>
            </w:r>
          </w:p>
        </w:tc>
      </w:tr>
    </w:tbl>
    <w:p>
      <w:pPr>
        <w:spacing w:after="80"/>
      </w:pPr>
    </w:p>
    <w:p>
      <w:r>
        <w:rPr>
          <w:rFonts w:ascii="Inter" w:hAnsi="Inter"/>
          <w:b/>
          <w:color w:val="0F2540"/>
          <w:sz w:val="21"/>
        </w:rPr>
        <w:t>Northgate Constructors</w:t>
      </w:r>
    </w:p>
    <w:p>
      <w:r>
        <w:rPr>
          <w:rFonts w:ascii="Inter" w:hAnsi="Inter"/>
          <w:b w:val="0"/>
          <w:color w:val="0D1B2A"/>
          <w:sz w:val="21"/>
        </w:rPr>
        <w:t>400 Example Road, Toronto, Ontario (Demo)</w:t>
      </w:r>
    </w:p>
    <w:p/>
    <w:p>
      <w:r>
        <w:rPr>
          <w:rFonts w:ascii="Inter" w:hAnsi="Inter"/>
          <w:b w:val="0"/>
          <w:color w:val="0D1B2A"/>
          <w:sz w:val="21"/>
        </w:rPr>
        <w:t>September 01, 2026</w:t>
      </w:r>
    </w:p>
    <w:p/>
    <w:p>
      <w:r>
        <w:rPr>
          <w:rFonts w:ascii="Inter" w:hAnsi="Inter"/>
          <w:b/>
          <w:color w:val="0D1B2A"/>
          <w:sz w:val="21"/>
        </w:rPr>
        <w:t>Ms. R. Chen, Owner's Representative (Demo)</w:t>
      </w:r>
    </w:p>
    <w:p>
      <w:r>
        <w:rPr>
          <w:rFonts w:ascii="Inter" w:hAnsi="Inter"/>
          <w:b w:val="0"/>
          <w:color w:val="0D1B2A"/>
          <w:sz w:val="21"/>
        </w:rPr>
        <w:t>Ontario Community College Owner Group</w:t>
      </w:r>
    </w:p>
    <w:p>
      <w:r>
        <w:rPr>
          <w:rFonts w:ascii="Inter" w:hAnsi="Inter"/>
          <w:b w:val="0"/>
          <w:color w:val="0D1B2A"/>
          <w:sz w:val="21"/>
        </w:rPr>
        <w:t>1 College Drive, Toronto, Ontario (Demo)</w:t>
      </w:r>
    </w:p>
    <w:p/>
    <w:p>
      <w:r>
        <w:rPr>
          <w:rFonts w:ascii="Inter" w:hAnsi="Inter"/>
          <w:b/>
          <w:color w:val="0F2540"/>
          <w:sz w:val="21"/>
        </w:rPr>
        <w:t>RE: Extension of Time Claim — Ontario Community College - B2 (Demo Data)</w:t>
      </w:r>
    </w:p>
    <w:p>
      <w:r>
        <w:rPr>
          <w:rFonts w:ascii="Inter" w:hAnsi="Inter"/>
          <w:b w:val="0"/>
          <w:color w:val="0F2540"/>
          <w:sz w:val="21"/>
        </w:rPr>
        <w:t>Contract reference: CCDC 2 - 2020, Contract No. OCC-B2-2025 (Demo Data)</w:t>
      </w:r>
    </w:p>
    <w:p/>
    <w:p>
      <w:r>
        <w:rPr>
          <w:rFonts w:ascii="Inter" w:hAnsi="Inter"/>
          <w:b w:val="0"/>
          <w:color w:val="0D1B2A"/>
          <w:sz w:val="21"/>
        </w:rPr>
        <w:t>Northgate Constructors hereby submits a request for extension of time totalling 9 working days for the above-referenced project. Each delay event is documented in a separate exhibit referenced below.</w:t>
      </w:r>
    </w:p>
    <w:p/>
    <w:tbl>
      <w:tblPr>
        <w:tblW w:type="auto" w:w="0"/>
        <w:jc w:val="center"/>
        <w:tblLook w:firstColumn="1" w:firstRow="1" w:lastColumn="0" w:lastRow="0" w:noHBand="0" w:noVBand="1" w:val="04A0"/>
        <w:tblLayout w:type="fixed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sz="16" w:space="0" w:color="B7791F"/>
            </w:tcBorders>
          </w:tcPr>
          <w:p>
            <w:pPr>
              <w:spacing w:before="80" w:after="40"/>
            </w:pPr>
            <w:r/>
            <w:r>
              <w:rPr>
                <w:rFonts w:ascii="Inter" w:hAnsi="Inter"/>
                <w:color w:val="33455A"/>
                <w:sz w:val="17"/>
              </w:rPr>
              <w:t>Total Claimed</w:t>
            </w:r>
          </w:p>
          <w:p>
            <w:pPr>
              <w:spacing w:after="40"/>
            </w:pPr>
            <w:r>
              <w:rPr>
                <w:rFonts w:ascii="Inter" w:hAnsi="Inter"/>
                <w:b/>
                <w:color w:val="B7791F"/>
                <w:sz w:val="48"/>
              </w:rPr>
              <w:t>9</w:t>
            </w:r>
            <w:r>
              <w:rPr>
                <w:rFonts w:ascii="Inter" w:hAnsi="Inter"/>
                <w:color w:val="33455A"/>
                <w:sz w:val="24"/>
              </w:rPr>
              <w:t xml:space="preserve"> wd</w:t>
            </w:r>
          </w:p>
          <w:p>
            <w:r>
              <w:rPr>
                <w:rFonts w:ascii="Inter" w:hAnsi="Inter"/>
                <w:color w:val="33455A"/>
                <w:sz w:val="16"/>
              </w:rPr>
              <w:t>extension of time</w:t>
            </w:r>
          </w:p>
        </w:tc>
        <w:tc>
          <w:tcPr>
            <w:tcW w:type="dxa" w:w="2340"/>
            <w:tcBorders>
              <w:top w:val="single" w:sz="16" w:space="0" w:color="0F2540"/>
            </w:tcBorders>
          </w:tcPr>
          <w:p>
            <w:pPr>
              <w:spacing w:before="80" w:after="40"/>
            </w:pPr>
            <w:r/>
            <w:r>
              <w:rPr>
                <w:rFonts w:ascii="Inter" w:hAnsi="Inter"/>
                <w:color w:val="33455A"/>
                <w:sz w:val="17"/>
              </w:rPr>
              <w:t>Delay Events</w:t>
            </w:r>
          </w:p>
          <w:p>
            <w:pPr>
              <w:spacing w:after="40"/>
            </w:pPr>
            <w:r>
              <w:rPr>
                <w:rFonts w:ascii="Inter" w:hAnsi="Inter"/>
                <w:b/>
                <w:color w:val="0D1B2A"/>
                <w:sz w:val="48"/>
              </w:rPr>
              <w:t>1</w:t>
            </w:r>
          </w:p>
          <w:p>
            <w:r>
              <w:rPr>
                <w:rFonts w:ascii="Inter" w:hAnsi="Inter"/>
                <w:color w:val="33455A"/>
                <w:sz w:val="16"/>
              </w:rPr>
              <w:t>exhibits B onward</w:t>
            </w:r>
          </w:p>
        </w:tc>
        <w:tc>
          <w:tcPr>
            <w:tcW w:type="dxa" w:w="2340"/>
            <w:tcBorders>
              <w:top w:val="single" w:sz="16" w:space="0" w:color="0F2540"/>
            </w:tcBorders>
          </w:tcPr>
          <w:p>
            <w:pPr>
              <w:spacing w:before="80" w:after="40"/>
            </w:pPr>
            <w:r/>
            <w:r>
              <w:rPr>
                <w:rFonts w:ascii="Inter" w:hAnsi="Inter"/>
                <w:color w:val="33455A"/>
                <w:sz w:val="17"/>
              </w:rPr>
              <w:t>Supporting Docs</w:t>
            </w:r>
          </w:p>
          <w:p>
            <w:pPr>
              <w:spacing w:after="40"/>
            </w:pPr>
            <w:r>
              <w:rPr>
                <w:rFonts w:ascii="Inter" w:hAnsi="Inter"/>
                <w:b/>
                <w:color w:val="0D1B2A"/>
                <w:sz w:val="48"/>
              </w:rPr>
              <w:t>5</w:t>
            </w:r>
          </w:p>
          <w:p>
            <w:r>
              <w:rPr>
                <w:rFonts w:ascii="Inter" w:hAnsi="Inter"/>
                <w:color w:val="33455A"/>
                <w:sz w:val="16"/>
              </w:rPr>
              <w:t>D / E series</w:t>
            </w:r>
          </w:p>
        </w:tc>
        <w:tc>
          <w:tcPr>
            <w:tcW w:type="dxa" w:w="2340"/>
            <w:tcBorders>
              <w:top w:val="single" w:sz="16" w:space="0" w:color="0F2540"/>
            </w:tcBorders>
          </w:tcPr>
          <w:p>
            <w:pPr>
              <w:spacing w:before="80" w:after="40"/>
            </w:pPr>
            <w:r/>
            <w:r>
              <w:rPr>
                <w:rFonts w:ascii="Inter" w:hAnsi="Inter"/>
                <w:color w:val="33455A"/>
                <w:sz w:val="17"/>
              </w:rPr>
              <w:t>Response Due</w:t>
            </w:r>
          </w:p>
          <w:p>
            <w:pPr>
              <w:spacing w:after="40"/>
            </w:pPr>
            <w:r>
              <w:rPr>
                <w:rFonts w:ascii="Inter" w:hAnsi="Inter"/>
                <w:b/>
                <w:color w:val="0D1B2A"/>
                <w:sz w:val="48"/>
              </w:rPr>
              <w:t>30</w:t>
            </w:r>
            <w:r>
              <w:rPr>
                <w:rFonts w:ascii="Inter" w:hAnsi="Inter"/>
                <w:color w:val="33455A"/>
                <w:sz w:val="24"/>
              </w:rPr>
              <w:t xml:space="preserve"> d</w:t>
            </w:r>
          </w:p>
          <w:p>
            <w:r>
              <w:rPr>
                <w:rFonts w:ascii="Inter" w:hAnsi="Inter"/>
                <w:color w:val="33455A"/>
                <w:sz w:val="16"/>
              </w:rPr>
              <w:t>per contract</w:t>
            </w:r>
          </w:p>
        </w:tc>
      </w:tr>
    </w:tbl>
    <w:p>
      <w:pPr>
        <w:spacing w:after="40"/>
      </w:pPr>
    </w:p>
    <w:p>
      <w:pPr>
        <w:keepNext/>
        <w:spacing w:before="320" w:after="120"/>
        <w:pBdr>
          <w:bottom w:val="single" w:sz="6" w:space="4" w:color="C9D3DD"/>
        </w:pBdr>
      </w:pPr>
      <w:r>
        <w:rPr>
          <w:rFonts w:ascii="Inter" w:hAnsi="Inter"/>
          <w:b/>
          <w:color w:val="C8392F"/>
          <w:sz w:val="18"/>
        </w:rPr>
        <w:t>A-01</w:t>
      </w:r>
      <w:r>
        <w:t xml:space="preserve">   </w:t>
      </w:r>
      <w:r>
        <w:rPr>
          <w:rFonts w:ascii="Inter" w:hAnsi="Inter"/>
          <w:b/>
          <w:color w:val="0D1B2A"/>
          <w:sz w:val="27"/>
        </w:rPr>
        <w:t>Exhibit Index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Exhibit</w:t>
            </w:r>
          </w:p>
        </w:tc>
        <w:tc>
          <w:tcPr>
            <w:tcW w:type="dxa" w:w="3120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Title</w:t>
            </w:r>
          </w:p>
        </w:tc>
        <w:tc>
          <w:tcPr>
            <w:tcW w:type="dxa" w:w="3120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File</w:t>
            </w:r>
          </w:p>
        </w:tc>
      </w:tr>
      <w:tr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A</w:t>
            </w:r>
          </w:p>
        </w:tc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Cover Letter (this document)</w:t>
            </w:r>
          </w:p>
        </w:tc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—</w:t>
            </w:r>
          </w:p>
        </w:tc>
      </w:tr>
      <w:tr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DE-01</w:t>
            </w:r>
          </w:p>
        </w:tc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Delay Event Analysis: Fire-spray application held for owner inspector availability</w:t>
            </w:r>
          </w:p>
        </w:tc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Ontario_Community_College___B2_Demo_Data_Exhibit_DE-01_Fire_spray_application_held_for_owner_inspector_availability.docx</w:t>
            </w:r>
          </w:p>
        </w:tc>
      </w:tr>
      <w:tr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Workbook</w:t>
            </w:r>
          </w:p>
        </w:tc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Forensic Schedule Workbook</w:t>
            </w:r>
          </w:p>
        </w:tc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—</w:t>
            </w:r>
          </w:p>
        </w:tc>
      </w:tr>
      <w:tr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Index</w:t>
            </w:r>
          </w:p>
        </w:tc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Supporting Documents Index</w:t>
            </w:r>
          </w:p>
        </w:tc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—</w:t>
            </w:r>
          </w:p>
        </w:tc>
      </w:tr>
    </w:tbl>
    <w:p>
      <w:pPr>
        <w:spacing w:after="40"/>
      </w:pPr>
    </w:p>
    <w:p>
      <w:pPr>
        <w:keepNext/>
        <w:spacing w:before="320" w:after="120"/>
        <w:pBdr>
          <w:bottom w:val="single" w:sz="6" w:space="4" w:color="C9D3DD"/>
        </w:pBdr>
      </w:pPr>
      <w:r>
        <w:rPr>
          <w:rFonts w:ascii="Inter" w:hAnsi="Inter"/>
          <w:b/>
          <w:color w:val="C8392F"/>
          <w:sz w:val="18"/>
        </w:rPr>
        <w:t>A-02</w:t>
      </w:r>
      <w:r>
        <w:t xml:space="preserve">   </w:t>
      </w:r>
      <w:r>
        <w:rPr>
          <w:rFonts w:ascii="Inter" w:hAnsi="Inter"/>
          <w:b/>
          <w:color w:val="0D1B2A"/>
          <w:sz w:val="27"/>
        </w:rPr>
        <w:t>Entitlement Summary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Exhibit</w:t>
            </w:r>
          </w:p>
        </w:tc>
        <w:tc>
          <w:tcPr>
            <w:tcW w:type="dxa" w:w="2340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Window</w:t>
            </w:r>
          </w:p>
        </w:tc>
        <w:tc>
          <w:tcPr>
            <w:tcW w:type="dxa" w:w="2340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Description</w:t>
            </w:r>
          </w:p>
        </w:tc>
        <w:tc>
          <w:tcPr>
            <w:tcW w:type="dxa" w:w="2340"/>
            <w:tcBorders>
              <w:bottom w:val="single" w:sz="8" w:space="0" w:color="0F2540"/>
            </w:tcBorders>
            <w:vAlign w:val="center"/>
          </w:tcPr>
          <w:p>
            <w:pPr>
              <w:jc w:val="righ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Working Days</w:t>
            </w:r>
          </w:p>
        </w:tc>
      </w:tr>
      <w:tr>
        <w:tc>
          <w:tcPr>
            <w:tcW w:type="dxa" w:w="234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DE-01</w:t>
            </w:r>
          </w:p>
        </w:tc>
        <w:tc>
          <w:tcPr>
            <w:tcW w:type="dxa" w:w="234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Baseline → Current</w:t>
            </w:r>
          </w:p>
        </w:tc>
        <w:tc>
          <w:tcPr>
            <w:tcW w:type="dxa" w:w="234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Fire-spray application held for owner inspector availability</w:t>
            </w:r>
          </w:p>
        </w:tc>
        <w:tc>
          <w:tcPr>
            <w:tcW w:type="dxa" w:w="2340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/>
                <w:color w:val="B7791F"/>
                <w:sz w:val="19"/>
              </w:rPr>
              <w:t>9 wd</w:t>
            </w:r>
          </w:p>
        </w:tc>
      </w:tr>
      <w:tr>
        <w:tc>
          <w:tcPr>
            <w:tcW w:type="dxa" w:w="234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—</w:t>
            </w:r>
          </w:p>
        </w:tc>
        <w:tc>
          <w:tcPr>
            <w:tcW w:type="dxa" w:w="234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</w:r>
          </w:p>
        </w:tc>
        <w:tc>
          <w:tcPr>
            <w:tcW w:type="dxa" w:w="234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TOTAL CLAIMED</w:t>
            </w:r>
          </w:p>
        </w:tc>
        <w:tc>
          <w:tcPr>
            <w:tcW w:type="dxa" w:w="2340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/>
                <w:color w:val="B7791F"/>
                <w:sz w:val="19"/>
              </w:rPr>
              <w:t>9 wd</w:t>
            </w:r>
          </w:p>
        </w:tc>
      </w:tr>
    </w:tbl>
    <w:p>
      <w:pPr>
        <w:spacing w:after="40"/>
      </w:pPr>
    </w:p>
    <w:p>
      <w:pPr>
        <w:keepNext/>
        <w:spacing w:before="320" w:after="120"/>
        <w:pBdr>
          <w:bottom w:val="single" w:sz="6" w:space="4" w:color="C9D3DD"/>
        </w:pBdr>
      </w:pPr>
      <w:r>
        <w:rPr>
          <w:rFonts w:ascii="Inter" w:hAnsi="Inter"/>
          <w:b/>
          <w:color w:val="C8392F"/>
          <w:sz w:val="18"/>
        </w:rPr>
        <w:t>A-03</w:t>
      </w:r>
      <w:r>
        <w:t xml:space="preserve">   </w:t>
      </w:r>
      <w:r>
        <w:rPr>
          <w:rFonts w:ascii="Inter" w:hAnsi="Inter"/>
          <w:b/>
          <w:color w:val="0D1B2A"/>
          <w:sz w:val="27"/>
        </w:rPr>
        <w:t>Contract Basis</w:t>
      </w:r>
    </w:p>
    <w:p>
      <w:r>
        <w:rPr>
          <w:rFonts w:ascii="Inter" w:hAnsi="Inter"/>
          <w:b w:val="0"/>
          <w:color w:val="0D1B2A"/>
          <w:sz w:val="21"/>
        </w:rPr>
        <w:t>The Contractor claims 9 working days pursuant to GC 6.5.1 (delay by the Owner or the Consultant) of the demonstration contract. Clause citations follow the demonstration contract and are stated for format; this is synthetic data.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Exhibit</w:t>
            </w:r>
          </w:p>
        </w:tc>
        <w:tc>
          <w:tcPr>
            <w:tcW w:type="dxa" w:w="3120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Event</w:t>
            </w:r>
          </w:p>
        </w:tc>
        <w:tc>
          <w:tcPr>
            <w:tcW w:type="dxa" w:w="3120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Contract Clause(s)</w:t>
            </w:r>
          </w:p>
        </w:tc>
      </w:tr>
      <w:tr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DE-01</w:t>
            </w:r>
          </w:p>
        </w:tc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Fire-spray application held for owner inspector availability</w:t>
            </w:r>
          </w:p>
        </w:tc>
        <w:tc>
          <w:tcPr>
            <w:tcW w:type="dxa" w:w="312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0D1B2A"/>
                <w:sz w:val="19"/>
              </w:rPr>
              <w:t>GC 6.5.1 (delay by the Owner or the Consultant)</w:t>
            </w:r>
          </w:p>
        </w:tc>
      </w:tr>
    </w:tbl>
    <w:p>
      <w:pPr>
        <w:spacing w:after="40"/>
      </w:pPr>
    </w:p>
    <w:p>
      <w:pPr>
        <w:keepNext/>
        <w:spacing w:before="320" w:after="120"/>
        <w:pBdr>
          <w:bottom w:val="single" w:sz="6" w:space="4" w:color="C9D3DD"/>
        </w:pBdr>
      </w:pPr>
      <w:r>
        <w:rPr>
          <w:rFonts w:ascii="Inter" w:hAnsi="Inter"/>
          <w:b/>
          <w:color w:val="C8392F"/>
          <w:sz w:val="18"/>
        </w:rPr>
        <w:t>A-04</w:t>
      </w:r>
      <w:r>
        <w:t xml:space="preserve">   </w:t>
      </w:r>
      <w:r>
        <w:rPr>
          <w:rFonts w:ascii="Inter" w:hAnsi="Inter"/>
          <w:b/>
          <w:color w:val="0D1B2A"/>
          <w:sz w:val="27"/>
        </w:rPr>
        <w:t>Closing</w:t>
      </w:r>
    </w:p>
    <w:p>
      <w:r>
        <w:rPr>
          <w:rFonts w:ascii="Inter" w:hAnsi="Inter"/>
          <w:b w:val="0"/>
          <w:color w:val="0D1B2A"/>
          <w:sz w:val="21"/>
        </w:rPr>
        <w:t>We request a formal written response to this claim within 30 days in accordance with the contract. Please contact the undersigned with any questions or to schedule a meeting to discuss this submission.</w:t>
      </w:r>
    </w:p>
    <w:p/>
    <w:p>
      <w:r>
        <w:rPr>
          <w:rFonts w:ascii="Inter" w:hAnsi="Inter"/>
          <w:b w:val="0"/>
          <w:color w:val="0D1B2A"/>
          <w:sz w:val="21"/>
        </w:rPr>
        <w:t>Respectfully submitted,</w:t>
      </w:r>
    </w:p>
    <w:p/>
    <w:p/>
    <w:p>
      <w:r>
        <w:rPr>
          <w:rFonts w:ascii="Inter" w:hAnsi="Inter"/>
          <w:b/>
          <w:color w:val="0D1B2A"/>
          <w:sz w:val="21"/>
        </w:rPr>
        <w:t>Dana Fitkowski</w:t>
      </w:r>
    </w:p>
    <w:p>
      <w:r>
        <w:rPr>
          <w:rFonts w:ascii="Inter" w:hAnsi="Inter"/>
          <w:b w:val="0"/>
          <w:color w:val="0D1B2A"/>
          <w:sz w:val="21"/>
        </w:rPr>
        <w:t>Principal, Critical Path Partners</w:t>
      </w:r>
    </w:p>
    <w:p>
      <w:r>
        <w:rPr>
          <w:rFonts w:ascii="Inter" w:hAnsi="Inter"/>
          <w:b w:val="0"/>
          <w:color w:val="0D1B2A"/>
          <w:sz w:val="21"/>
        </w:rPr>
        <w:t>Northgate Constructors</w:t>
      </w:r>
    </w:p>
    <w:p/>
    <w:p>
      <w:r>
        <w:rPr>
          <w:rFonts w:ascii="Inter" w:hAnsi="Inter"/>
          <w:b w:val="0"/>
          <w:color w:val="0F2540"/>
          <w:sz w:val="19"/>
        </w:rPr>
        <w:t>CC: Project file. 1 delay event analyses. Forensic schedule workbook. Supporting documents index (5 docs).</w:t>
      </w:r>
    </w:p>
    <w:sectPr w:rsidR="00FC693F" w:rsidRPr="0006063C" w:rsidSect="00034616">
      <w:footerReference w:type="default" r:id="rId9"/>
      <w:pgSz w:w="12240" w:h="15840"/>
      <w:pgMar w:top="1296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left"/>
      <w:pBdr>
        <w:top w:val="single" w:sz="6" w:space="4" w:color="C9D3DD"/>
      </w:pBdr>
    </w:pPr>
    <w:r/>
    <w:r>
      <w:rPr>
        <w:rFonts w:ascii="Inter" w:hAnsi="Inter"/>
        <w:color w:val="33455A"/>
        <w:sz w:val="15"/>
      </w:rPr>
      <w:t xml:space="preserve">Generated </w:t>
    </w:r>
    <w:r>
      <w:rPr>
        <w:rFonts w:ascii="Inter" w:hAnsi="Inter"/>
        <w:b/>
        <w:color w:val="0D1B2A"/>
        <w:sz w:val="15"/>
      </w:rPr>
      <w:t>September 01, 2026</w:t>
    </w:r>
    <w:r>
      <w:rPr>
        <w:rFonts w:ascii="Inter" w:hAnsi="Inter"/>
        <w:color w:val="33455A"/>
        <w:sz w:val="15"/>
      </w:rPr>
      <w:t xml:space="preserve">  ·  </w:t>
    </w:r>
    <w:r>
      <w:rPr>
        <w:rFonts w:ascii="Inter" w:hAnsi="Inter"/>
        <w:color w:val="33455A"/>
        <w:sz w:val="15"/>
      </w:rPr>
      <w:t xml:space="preserve">Source </w:t>
    </w:r>
    <w:r>
      <w:rPr>
        <w:rFonts w:ascii="Inter" w:hAnsi="Inter"/>
        <w:b/>
        <w:color w:val="0D1B2A"/>
        <w:sz w:val="15"/>
      </w:rPr>
      <w:t>CCDC 2 - 2020, Contract No. OCC-B2-2025 (Demo Data)</w:t>
    </w:r>
    <w:r>
      <w:rPr>
        <w:rFonts w:ascii="Inter" w:hAnsi="Inter"/>
        <w:color w:val="33455A"/>
        <w:sz w:val="15"/>
      </w:rPr>
      <w:t xml:space="preserve">  ·  </w:t>
    </w:r>
    <w:r>
      <w:rPr>
        <w:rFonts w:ascii="Inter" w:hAnsi="Inter"/>
        <w:color w:val="33455A"/>
        <w:sz w:val="15"/>
      </w:rPr>
      <w:t xml:space="preserve">Engine </w:t>
    </w:r>
    <w:r>
      <w:rPr>
        <w:rFonts w:ascii="Consolas" w:hAnsi="Consolas"/>
        <w:b/>
        <w:color w:val="0D1B2A"/>
        <w:sz w:val="15"/>
      </w:rPr>
      <w:t>CPP claims-preparation · CPP cpm-engine v2.9.42</w:t>
    </w:r>
  </w:p>
  <w:p>
    <w:pPr>
      <w:spacing w:before="0"/>
    </w:pPr>
    <w:r>
      <w:rPr>
        <w:rFonts w:ascii="Inter" w:hAnsi="Inter"/>
        <w:color w:val="33455A"/>
        <w:sz w:val="15"/>
      </w:rPr>
      <w:t>Reproducible · every figure traceable to source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88" w:lineRule="auto"/>
    </w:pPr>
    <w:rPr>
      <w:rFonts w:ascii="Inter" w:hAnsi="Inter"/>
      <w:color w:val="0D1B2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 w:ascii="Inter" w:hAnsi="Inter"/>
      <w:b/>
      <w:bCs/>
      <w:color w:val="0D1B2A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20"/>
      <w:outlineLvl w:val="1"/>
    </w:pPr>
    <w:rPr>
      <w:rFonts w:asciiTheme="majorHAnsi" w:eastAsiaTheme="majorEastAsia" w:hAnsiTheme="majorHAnsi" w:cstheme="majorBidi" w:ascii="Inter" w:hAnsi="Inter"/>
      <w:b/>
      <w:bCs/>
      <w:color w:val="0D1B2A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Inter" w:hAnsi="Inter"/>
      <w:b/>
      <w:bCs/>
      <w:color w:val="0F2540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Inter" w:hAnsi="Inter"/>
      <w:b/>
      <w:color w:val="0D1B2A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CPPMono">
    <w:name w:val="CPP Mono"/>
    <w:rPr>
      <w:rFonts w:ascii="Consolas" w:hAnsi="Consolas" w:cs="Consolas"/>
      <w:color w:val="0D1B2A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